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34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2024 года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34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34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№5-1036-2803/2024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Драчева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серии 89АП №043578 от 21.04.2024, </w:t>
      </w:r>
      <w:r>
        <w:rPr>
          <w:rFonts w:ascii="Times New Roman" w:eastAsia="Times New Roman" w:hAnsi="Times New Roman" w:cs="Times New Roman"/>
          <w:sz w:val="26"/>
          <w:szCs w:val="26"/>
        </w:rPr>
        <w:t>Драчев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 21.04.2024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18810089230000268977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ч.6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Драчева Е.В.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09.02.2024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Драчева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№18810089230000268977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ч.6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18810089230000268977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системного толкования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eastAsia="Times New Roman" w:hAnsi="Times New Roman" w:cs="Times New Roman"/>
          <w:sz w:val="26"/>
          <w:szCs w:val="26"/>
        </w:rPr>
        <w:t>после истечения данного срока в случае неуплаты штрафа усматривается событие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ст.4.8 КоАП РФ сроки, предусмотренные настоящим Кодексом, исчисляются часами, сутками, днями, месяцами, годами.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ст.32.2 КоАП РФ срок для уплаты штрафа определен в днях.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 окончание 60-дневного срока для добровольной уплаты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приходится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22.04.2024, так к</w:t>
      </w:r>
      <w:r>
        <w:rPr>
          <w:rFonts w:ascii="Times New Roman" w:eastAsia="Times New Roman" w:hAnsi="Times New Roman" w:cs="Times New Roman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sz w:val="26"/>
          <w:szCs w:val="26"/>
        </w:rPr>
        <w:t>, 20.04.2024 и 21.04.2024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являлись выходными днями (суббота и воскресенье)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датой совершения правонарушения является 23.04.2024.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ремя совершения правонарушения должностным лицом исчислен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неверно, с нарушением ст.4.8 КоАП РФ, а протокол об административном правонарушении составлен преждевременно.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 привлечение Драчева Е.В. к административной ответственности за уклонение от уплаты административного нельзя признать правомерным.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24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 ч.1 ст.24.5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производство по делу в отношении Др</w:t>
      </w:r>
      <w:r>
        <w:rPr>
          <w:rFonts w:ascii="Times New Roman" w:eastAsia="Times New Roman" w:hAnsi="Times New Roman" w:cs="Times New Roman"/>
          <w:sz w:val="26"/>
          <w:szCs w:val="26"/>
        </w:rPr>
        <w:t>ачева Е.В. подлежит прекращению, в связи с отсутствием события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ст.24.5, ст.29.10 КоАП РФ, мировой судья,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производство по делу об административном правонарушении №5-1036-2803/2024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Драчева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п.1 ч.1 ст.24.5 КоАП РФ, в связи с отсутствием события административного правонарушения, предусмотренного ч.1 ст.20.25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4">
    <w:name w:val="cat-UserDefined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